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110B" w14:textId="118A8BAE" w:rsidR="00D40DDC" w:rsidRDefault="00332EB0" w:rsidP="007B13E8">
      <w:pPr>
        <w:spacing w:after="0"/>
        <w:jc w:val="center"/>
        <w:rPr>
          <w:rFonts w:ascii="Roboto Bold" w:eastAsia="Roboto Bold" w:hAnsi="Roboto Bold" w:cs="Roboto Bold"/>
          <w:b/>
          <w:bCs/>
          <w:color w:val="373536"/>
          <w:sz w:val="96"/>
          <w:szCs w:val="96"/>
          <w:u w:val="single"/>
        </w:rPr>
      </w:pPr>
      <w:bookmarkStart w:id="0" w:name="_Hlk207096678"/>
      <w:r w:rsidRPr="00332EB0">
        <w:rPr>
          <w:rFonts w:ascii="Aptos" w:eastAsia="Times New Roman" w:hAnsi="Aptos" w:cs="Times New Roman"/>
          <w:noProof/>
        </w:rPr>
        <w:drawing>
          <wp:anchor distT="0" distB="0" distL="114300" distR="114300" simplePos="0" relativeHeight="251658240" behindDoc="1" locked="0" layoutInCell="1" allowOverlap="1" wp14:anchorId="0B1D5CEB" wp14:editId="57EC85CE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383030" cy="1372657"/>
            <wp:effectExtent l="0" t="0" r="7620" b="0"/>
            <wp:wrapNone/>
            <wp:docPr id="1106900784" name="Picture 1" descr="622951b9ca3ffdfa51717e1f63d29f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622951b9ca3ffdfa51717e1f63d29f0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372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DDC" w:rsidRPr="00B969CC">
        <w:rPr>
          <w:rFonts w:ascii="Roboto Bold" w:eastAsia="Roboto Bold" w:hAnsi="Roboto Bold" w:cs="Roboto Bold"/>
          <w:b/>
          <w:bCs/>
          <w:color w:val="373536"/>
          <w:sz w:val="96"/>
          <w:szCs w:val="96"/>
          <w:u w:val="single"/>
        </w:rPr>
        <w:t>NOTICE</w:t>
      </w:r>
    </w:p>
    <w:p w14:paraId="1262C056" w14:textId="77777777" w:rsidR="009865BD" w:rsidRPr="002A47E8" w:rsidRDefault="009865BD" w:rsidP="009865BD">
      <w:pPr>
        <w:spacing w:after="0"/>
        <w:jc w:val="center"/>
        <w:rPr>
          <w:sz w:val="20"/>
          <w:szCs w:val="20"/>
          <w:u w:val="single"/>
        </w:rPr>
      </w:pPr>
    </w:p>
    <w:bookmarkEnd w:id="0"/>
    <w:p w14:paraId="6BF060A8" w14:textId="342CA937" w:rsidR="00B474D6" w:rsidRDefault="00B969CC" w:rsidP="009865BD">
      <w:pPr>
        <w:spacing w:after="0" w:line="336" w:lineRule="auto"/>
        <w:jc w:val="center"/>
        <w:rPr>
          <w:rFonts w:ascii="Arial" w:eastAsia="Canva Sans" w:hAnsi="Arial" w:cs="Arial"/>
          <w:color w:val="373536"/>
          <w:sz w:val="32"/>
          <w:szCs w:val="32"/>
        </w:rPr>
      </w:pPr>
      <w:r w:rsidRPr="00490442">
        <w:rPr>
          <w:rFonts w:ascii="Arial" w:eastAsia="Canva Sans" w:hAnsi="Arial" w:cs="Arial"/>
          <w:color w:val="373536"/>
          <w:sz w:val="32"/>
          <w:szCs w:val="32"/>
        </w:rPr>
        <w:t xml:space="preserve">New Vacant Property </w:t>
      </w:r>
      <w:r w:rsidR="000E0B4D">
        <w:rPr>
          <w:rFonts w:ascii="Arial" w:eastAsia="Canva Sans" w:hAnsi="Arial" w:cs="Arial"/>
          <w:color w:val="373536"/>
          <w:sz w:val="32"/>
          <w:szCs w:val="32"/>
        </w:rPr>
        <w:t>Requirements</w:t>
      </w:r>
    </w:p>
    <w:p w14:paraId="62857254" w14:textId="77777777" w:rsidR="009865BD" w:rsidRPr="002A47E8" w:rsidRDefault="009865BD" w:rsidP="009865BD">
      <w:pPr>
        <w:spacing w:after="0" w:line="336" w:lineRule="auto"/>
        <w:jc w:val="center"/>
        <w:rPr>
          <w:rFonts w:ascii="Arial" w:eastAsia="Canva Sans" w:hAnsi="Arial" w:cs="Arial"/>
          <w:color w:val="373536"/>
          <w:sz w:val="20"/>
          <w:szCs w:val="20"/>
        </w:rPr>
      </w:pPr>
    </w:p>
    <w:tbl>
      <w:tblPr>
        <w:tblW w:w="10890" w:type="dxa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0"/>
      </w:tblGrid>
      <w:tr w:rsidR="00747F37" w14:paraId="23449B3E" w14:textId="77777777" w:rsidTr="00490442">
        <w:trPr>
          <w:trHeight w:val="741"/>
        </w:trPr>
        <w:tc>
          <w:tcPr>
            <w:tcW w:w="10890" w:type="dxa"/>
            <w:shd w:val="clear" w:color="auto" w:fill="ECE7E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CC6D5" w14:textId="5B2A6FE3" w:rsidR="00747F37" w:rsidRDefault="001B42A3" w:rsidP="00490442">
            <w:pPr>
              <w:spacing w:before="120" w:after="120" w:line="336" w:lineRule="auto"/>
              <w:jc w:val="center"/>
            </w:pPr>
            <w:r>
              <w:rPr>
                <w:rFonts w:ascii="Roboto Bold" w:eastAsia="Roboto Bold" w:hAnsi="Roboto Bold" w:cs="Roboto Bold"/>
                <w:b/>
                <w:bCs/>
                <w:color w:val="373536"/>
                <w:spacing w:val="30"/>
                <w:sz w:val="40"/>
                <w:szCs w:val="40"/>
              </w:rPr>
              <w:t>Overview</w:t>
            </w:r>
          </w:p>
        </w:tc>
      </w:tr>
    </w:tbl>
    <w:p w14:paraId="04D0E30F" w14:textId="21AF37C4" w:rsidR="00B474D6" w:rsidRPr="00B474D6" w:rsidRDefault="00B969CC" w:rsidP="00490442">
      <w:pPr>
        <w:spacing w:before="120" w:after="120" w:line="336" w:lineRule="auto"/>
        <w:jc w:val="both"/>
        <w:rPr>
          <w:rFonts w:ascii="Arial" w:eastAsia="Canva Sans" w:hAnsi="Arial" w:cs="Arial"/>
          <w:color w:val="373536"/>
          <w:sz w:val="28"/>
          <w:szCs w:val="28"/>
        </w:rPr>
      </w:pPr>
      <w:r w:rsidRPr="00490442">
        <w:rPr>
          <w:rFonts w:ascii="Arial" w:eastAsia="Canva Sans" w:hAnsi="Arial" w:cs="Arial"/>
          <w:color w:val="373536"/>
          <w:sz w:val="28"/>
          <w:szCs w:val="28"/>
        </w:rPr>
        <w:t>The City of Artesia has updated its Vacant Properties Ordinance (</w:t>
      </w:r>
      <w:hyperlink r:id="rId6" w:history="1">
        <w:r w:rsidRPr="005E34EB">
          <w:rPr>
            <w:rStyle w:val="Hyperlink"/>
            <w:rFonts w:ascii="Arial" w:eastAsia="Canva Sans" w:hAnsi="Arial" w:cs="Arial"/>
            <w:sz w:val="28"/>
            <w:szCs w:val="28"/>
          </w:rPr>
          <w:t>Ord No. 25-966</w:t>
        </w:r>
      </w:hyperlink>
      <w:r w:rsidRPr="00490442">
        <w:rPr>
          <w:rFonts w:ascii="Arial" w:eastAsia="Canva Sans" w:hAnsi="Arial" w:cs="Arial"/>
          <w:color w:val="373536"/>
          <w:sz w:val="28"/>
          <w:szCs w:val="28"/>
        </w:rPr>
        <w:t xml:space="preserve">) to include both vacant lots and buildings. </w:t>
      </w:r>
      <w:r w:rsidR="000E0B4D">
        <w:rPr>
          <w:rFonts w:ascii="Arial" w:eastAsia="Canva Sans" w:hAnsi="Arial" w:cs="Arial"/>
          <w:color w:val="373536"/>
          <w:sz w:val="28"/>
          <w:szCs w:val="28"/>
        </w:rPr>
        <w:t xml:space="preserve"> Under the new Ordinance, P</w:t>
      </w:r>
      <w:r w:rsidRPr="00490442">
        <w:rPr>
          <w:rFonts w:ascii="Arial" w:eastAsia="Canva Sans" w:hAnsi="Arial" w:cs="Arial"/>
          <w:color w:val="373536"/>
          <w:sz w:val="28"/>
          <w:szCs w:val="28"/>
        </w:rPr>
        <w:t xml:space="preserve">roperty </w:t>
      </w:r>
      <w:r w:rsidR="000E0B4D">
        <w:rPr>
          <w:rFonts w:ascii="Arial" w:eastAsia="Canva Sans" w:hAnsi="Arial" w:cs="Arial"/>
          <w:color w:val="373536"/>
          <w:sz w:val="28"/>
          <w:szCs w:val="28"/>
        </w:rPr>
        <w:t>O</w:t>
      </w:r>
      <w:r w:rsidRPr="00490442">
        <w:rPr>
          <w:rFonts w:ascii="Arial" w:eastAsia="Canva Sans" w:hAnsi="Arial" w:cs="Arial"/>
          <w:color w:val="373536"/>
          <w:sz w:val="28"/>
          <w:szCs w:val="28"/>
        </w:rPr>
        <w:t>wners must register vacant properties, maintain landscaping and security, and comply with new inspection and maintenance requirements, including stricter standards for long-term vacancies.</w:t>
      </w:r>
      <w:r w:rsidR="002860FB">
        <w:rPr>
          <w:rFonts w:ascii="Arial" w:eastAsia="Canva Sans" w:hAnsi="Arial" w:cs="Arial"/>
          <w:color w:val="373536"/>
          <w:sz w:val="28"/>
          <w:szCs w:val="28"/>
        </w:rPr>
        <w:t xml:space="preserve"> Please</w:t>
      </w:r>
      <w:r w:rsidR="002A47E8">
        <w:rPr>
          <w:rFonts w:ascii="Arial" w:eastAsia="Canva Sans" w:hAnsi="Arial" w:cs="Arial"/>
          <w:color w:val="373536"/>
          <w:sz w:val="28"/>
          <w:szCs w:val="28"/>
        </w:rPr>
        <w:t xml:space="preserve"> register your property</w:t>
      </w:r>
      <w:r w:rsidR="00056A37">
        <w:rPr>
          <w:rFonts w:ascii="Arial" w:eastAsia="Canva Sans" w:hAnsi="Arial" w:cs="Arial"/>
          <w:color w:val="373536"/>
          <w:sz w:val="28"/>
          <w:szCs w:val="28"/>
        </w:rPr>
        <w:t>, pay the registration fee,</w:t>
      </w:r>
      <w:r w:rsidR="002A47E8">
        <w:rPr>
          <w:rFonts w:ascii="Arial" w:eastAsia="Canva Sans" w:hAnsi="Arial" w:cs="Arial"/>
          <w:color w:val="373536"/>
          <w:sz w:val="28"/>
          <w:szCs w:val="28"/>
        </w:rPr>
        <w:t xml:space="preserve"> and</w:t>
      </w:r>
      <w:r w:rsidR="002860FB">
        <w:rPr>
          <w:rFonts w:ascii="Arial" w:eastAsia="Canva Sans" w:hAnsi="Arial" w:cs="Arial"/>
          <w:color w:val="373536"/>
          <w:sz w:val="28"/>
          <w:szCs w:val="28"/>
        </w:rPr>
        <w:t xml:space="preserve"> contact the Planning Department to discuss improvements necessary for your individual property</w:t>
      </w:r>
      <w:r w:rsidR="00405928">
        <w:rPr>
          <w:rFonts w:ascii="Arial" w:eastAsia="Canva Sans" w:hAnsi="Arial" w:cs="Arial"/>
          <w:color w:val="373536"/>
          <w:sz w:val="28"/>
          <w:szCs w:val="28"/>
        </w:rPr>
        <w:t xml:space="preserve"> within 10 days of receiving this notice. </w:t>
      </w:r>
      <w:r w:rsidR="0007133F" w:rsidRPr="0007133F">
        <w:rPr>
          <w:rFonts w:ascii="Arial" w:eastAsia="Canva Sans" w:hAnsi="Arial" w:cs="Arial"/>
          <w:color w:val="373536"/>
          <w:sz w:val="28"/>
          <w:szCs w:val="28"/>
        </w:rPr>
        <w:t>Please ensure your property is registered by</w:t>
      </w:r>
      <w:r w:rsidR="0007133F">
        <w:rPr>
          <w:rFonts w:ascii="Arial" w:eastAsia="Canva Sans" w:hAnsi="Arial" w:cs="Arial"/>
          <w:color w:val="373536"/>
          <w:sz w:val="28"/>
          <w:szCs w:val="28"/>
        </w:rPr>
        <w:t xml:space="preserve"> </w:t>
      </w:r>
      <w:r w:rsidR="00AB508F" w:rsidRPr="00AB508F">
        <w:rPr>
          <w:rFonts w:ascii="Arial" w:eastAsia="Canva Sans" w:hAnsi="Arial" w:cs="Arial"/>
          <w:b/>
          <w:bCs/>
          <w:color w:val="EE0000"/>
          <w:sz w:val="28"/>
          <w:szCs w:val="28"/>
        </w:rPr>
        <w:t xml:space="preserve">Monday, December 15, </w:t>
      </w:r>
      <w:r w:rsidR="002860FB" w:rsidRPr="00AB508F">
        <w:rPr>
          <w:rFonts w:ascii="Arial" w:eastAsia="Canva Sans" w:hAnsi="Arial" w:cs="Arial"/>
          <w:b/>
          <w:bCs/>
          <w:color w:val="EE0000"/>
          <w:sz w:val="28"/>
          <w:szCs w:val="28"/>
        </w:rPr>
        <w:t>2025</w:t>
      </w:r>
      <w:r w:rsidR="002860FB" w:rsidRPr="00AB508F">
        <w:rPr>
          <w:rFonts w:ascii="Arial" w:eastAsia="Canva Sans" w:hAnsi="Arial" w:cs="Arial"/>
          <w:color w:val="373536"/>
          <w:sz w:val="28"/>
          <w:szCs w:val="28"/>
        </w:rPr>
        <w:t>.</w:t>
      </w:r>
      <w:r w:rsidR="002860FB">
        <w:rPr>
          <w:rFonts w:ascii="Arial" w:eastAsia="Canva Sans" w:hAnsi="Arial" w:cs="Arial"/>
          <w:color w:val="373536"/>
          <w:sz w:val="28"/>
          <w:szCs w:val="28"/>
        </w:rPr>
        <w:t xml:space="preserve">  </w:t>
      </w:r>
    </w:p>
    <w:tbl>
      <w:tblPr>
        <w:tblW w:w="10890" w:type="dxa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4"/>
        <w:gridCol w:w="9016"/>
      </w:tblGrid>
      <w:tr w:rsidR="00747F37" w14:paraId="0978F157" w14:textId="77777777" w:rsidTr="00490442">
        <w:tc>
          <w:tcPr>
            <w:tcW w:w="10890" w:type="dxa"/>
            <w:gridSpan w:val="2"/>
            <w:shd w:val="clear" w:color="auto" w:fill="ECE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3ACE" w14:textId="14CF0BCD" w:rsidR="00747F37" w:rsidRDefault="001B42A3" w:rsidP="00490442">
            <w:pPr>
              <w:spacing w:before="120" w:after="120" w:line="336" w:lineRule="auto"/>
              <w:jc w:val="center"/>
            </w:pPr>
            <w:r>
              <w:rPr>
                <w:rFonts w:ascii="Roboto Bold" w:eastAsia="Roboto Bold" w:hAnsi="Roboto Bold" w:cs="Roboto Bold"/>
                <w:b/>
                <w:bCs/>
                <w:color w:val="373536"/>
                <w:spacing w:val="30"/>
                <w:sz w:val="40"/>
                <w:szCs w:val="40"/>
              </w:rPr>
              <w:t>Summary</w:t>
            </w:r>
          </w:p>
        </w:tc>
      </w:tr>
      <w:tr w:rsidR="00431CF2" w14:paraId="0AFC576E" w14:textId="77777777" w:rsidTr="002A4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65"/>
        </w:trPr>
        <w:tc>
          <w:tcPr>
            <w:tcW w:w="18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</w:tcBorders>
            <w:shd w:val="clear" w:color="auto" w:fill="ECE7E7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AE1C3F" w14:textId="098A1B61" w:rsidR="00747F37" w:rsidRPr="00490442" w:rsidRDefault="00B474D6">
            <w:pPr>
              <w:spacing w:before="120" w:after="120" w:line="300" w:lineRule="auto"/>
              <w:rPr>
                <w:rFonts w:ascii="Arial" w:hAnsi="Arial" w:cs="Arial"/>
              </w:rPr>
            </w:pPr>
            <w:r>
              <w:rPr>
                <w:rFonts w:ascii="Arial" w:eastAsia="Canva Sans Bold" w:hAnsi="Arial" w:cs="Arial"/>
                <w:b/>
                <w:bCs/>
                <w:color w:val="000000"/>
                <w:sz w:val="28"/>
                <w:szCs w:val="28"/>
              </w:rPr>
              <w:t>Changes</w:t>
            </w:r>
            <w:r w:rsidRPr="00490442">
              <w:rPr>
                <w:rFonts w:ascii="Arial" w:eastAsia="Arimo" w:hAnsi="Arial" w:cs="Arial"/>
                <w:color w:val="000000"/>
              </w:rPr>
              <w:t xml:space="preserve"> </w:t>
            </w:r>
          </w:p>
        </w:tc>
        <w:tc>
          <w:tcPr>
            <w:tcW w:w="9016" w:type="dxa"/>
            <w:tcBorders>
              <w:right w:val="single" w:sz="6" w:space="0" w:color="FFFFFF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0D103B" w14:textId="1C629351" w:rsidR="00747F37" w:rsidRPr="009865BD" w:rsidRDefault="001122C5" w:rsidP="007B13E8">
            <w:pPr>
              <w:pBdr>
                <w:bottom w:val="single" w:sz="6" w:space="1" w:color="auto"/>
              </w:pBdr>
              <w:spacing w:after="0" w:line="336" w:lineRule="auto"/>
              <w:rPr>
                <w:rFonts w:ascii="Arial" w:eastAsia="Canva Sans Bold" w:hAnsi="Arial" w:cs="Arial"/>
                <w:color w:val="000000"/>
                <w:sz w:val="20"/>
                <w:szCs w:val="20"/>
              </w:rPr>
            </w:pPr>
            <w:r w:rsidRPr="009865BD">
              <w:rPr>
                <w:rFonts w:ascii="Arial" w:eastAsia="Canva Sans Bold" w:hAnsi="Arial" w:cs="Arial"/>
                <w:b/>
                <w:bCs/>
                <w:color w:val="000000"/>
                <w:sz w:val="20"/>
                <w:szCs w:val="20"/>
              </w:rPr>
              <w:t>Registration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 </w:t>
            </w:r>
            <w:r w:rsidR="005D2666"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>is required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 within 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  <w:u w:val="single"/>
              </w:rPr>
              <w:t>30 days of vacancy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 for all vacant properties</w:t>
            </w:r>
            <w:r w:rsidR="001B42A3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 including lots and buildings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>. Owners must include</w:t>
            </w:r>
            <w:r w:rsid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 a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 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  <w:u w:val="single"/>
              </w:rPr>
              <w:t>maintenance plan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, 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  <w:u w:val="single"/>
              </w:rPr>
              <w:t>security plan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, 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  <w:u w:val="single"/>
              </w:rPr>
              <w:t>proof of insurance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, </w:t>
            </w:r>
            <w:r w:rsidRPr="009865BD">
              <w:rPr>
                <w:rFonts w:ascii="Arial" w:eastAsia="Canva Sans Bold" w:hAnsi="Arial" w:cs="Arial"/>
                <w:color w:val="000000"/>
                <w:sz w:val="20"/>
                <w:szCs w:val="20"/>
                <w:u w:val="single"/>
              </w:rPr>
              <w:t>future plans</w:t>
            </w:r>
            <w:r w:rsidR="00F02D66"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. </w:t>
            </w:r>
            <w:r w:rsidR="008512B6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All plans must be approved by the </w:t>
            </w:r>
            <w:r w:rsidR="000E0B4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Community Development </w:t>
            </w:r>
            <w:r w:rsidR="008512B6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Director. </w:t>
            </w:r>
            <w:r w:rsid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>Registration</w:t>
            </w:r>
            <w:r w:rsidR="009865BD"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 must</w:t>
            </w:r>
            <w:r w:rsidR="00F02D66"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 be </w:t>
            </w:r>
            <w:r w:rsidR="00F02D66" w:rsidRPr="009865BD">
              <w:rPr>
                <w:rFonts w:ascii="Arial" w:eastAsia="Canva Sans Bold" w:hAnsi="Arial" w:cs="Arial"/>
                <w:color w:val="000000"/>
                <w:sz w:val="20"/>
                <w:szCs w:val="20"/>
                <w:u w:val="single"/>
              </w:rPr>
              <w:t>renewed each year</w:t>
            </w:r>
            <w:r w:rsidR="00F02D66" w:rsidRPr="009865BD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>.</w:t>
            </w:r>
            <w:r w:rsidR="00EF3310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  Initial registration fees are </w:t>
            </w:r>
            <w:r w:rsidR="007A161F" w:rsidRPr="007A161F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>$</w:t>
            </w:r>
            <w:r w:rsidR="007A161F" w:rsidRPr="007A161F">
              <w:rPr>
                <w:rFonts w:ascii="Arial" w:eastAsia="Canva Sans Bold" w:hAnsi="Arial" w:cs="Arial"/>
                <w:color w:val="000000"/>
                <w:sz w:val="20"/>
                <w:szCs w:val="20"/>
                <w:u w:val="single"/>
              </w:rPr>
              <w:t>395.60</w:t>
            </w:r>
            <w:r w:rsidR="00EF3310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 and subsequent annual registration fees are $</w:t>
            </w:r>
            <w:r w:rsidR="007A161F" w:rsidRPr="007A161F">
              <w:rPr>
                <w:rFonts w:ascii="Arial" w:eastAsia="Canva Sans Bold" w:hAnsi="Arial" w:cs="Arial"/>
                <w:color w:val="000000"/>
                <w:sz w:val="20"/>
                <w:szCs w:val="20"/>
                <w:u w:val="single"/>
              </w:rPr>
              <w:t>341.48</w:t>
            </w:r>
            <w:r w:rsidR="00EF3310">
              <w:rPr>
                <w:rFonts w:ascii="Arial" w:eastAsia="Canva Sans Bold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13AE74CC" w14:textId="77777777" w:rsidR="00CD2A21" w:rsidRPr="009865BD" w:rsidRDefault="00CD2A21" w:rsidP="007B13E8">
            <w:pPr>
              <w:spacing w:after="0" w:line="336" w:lineRule="auto"/>
              <w:rPr>
                <w:rFonts w:ascii="Arial" w:eastAsia="Canva Sans Bold" w:hAnsi="Arial" w:cs="Arial"/>
                <w:color w:val="000000"/>
                <w:sz w:val="4"/>
                <w:szCs w:val="4"/>
              </w:rPr>
            </w:pPr>
          </w:p>
          <w:p w14:paraId="02128212" w14:textId="3DA6F808" w:rsidR="001122C5" w:rsidRPr="009865BD" w:rsidRDefault="001122C5" w:rsidP="007B13E8">
            <w:pPr>
              <w:pBdr>
                <w:bottom w:val="single" w:sz="6" w:space="1" w:color="auto"/>
              </w:pBdr>
              <w:spacing w:after="0" w:line="336" w:lineRule="auto"/>
              <w:rPr>
                <w:rFonts w:ascii="Arial" w:eastAsia="Canva Sans Bold" w:hAnsi="Arial" w:cs="Arial"/>
                <w:sz w:val="20"/>
                <w:szCs w:val="20"/>
              </w:rPr>
            </w:pPr>
            <w:r w:rsidRPr="009865BD">
              <w:rPr>
                <w:rFonts w:ascii="Arial" w:eastAsia="Canva Sans Bold" w:hAnsi="Arial" w:cs="Arial"/>
                <w:b/>
                <w:bCs/>
                <w:sz w:val="20"/>
                <w:szCs w:val="20"/>
              </w:rPr>
              <w:t>Residential Maintenance Requirements:</w:t>
            </w:r>
            <w:r w:rsidRPr="009865BD">
              <w:rPr>
                <w:rFonts w:ascii="Arial" w:eastAsia="Canva Sans Bold" w:hAnsi="Arial" w:cs="Arial"/>
                <w:sz w:val="20"/>
                <w:szCs w:val="20"/>
              </w:rPr>
              <w:t xml:space="preserve"> </w:t>
            </w:r>
            <w:r w:rsidR="007C6CE6">
              <w:rPr>
                <w:rFonts w:ascii="Arial" w:eastAsia="Canva Sans Bold" w:hAnsi="Arial" w:cs="Arial"/>
                <w:sz w:val="20"/>
                <w:szCs w:val="20"/>
              </w:rPr>
              <w:t>Dr</w:t>
            </w:r>
            <w:r w:rsidRPr="009865BD">
              <w:rPr>
                <w:rFonts w:ascii="Arial" w:eastAsia="Canva Sans Bold" w:hAnsi="Arial" w:cs="Arial"/>
                <w:sz w:val="20"/>
                <w:szCs w:val="20"/>
              </w:rPr>
              <w:t xml:space="preserve">ought-tolerant landscaping, </w:t>
            </w:r>
            <w:r w:rsidR="00B623C6">
              <w:rPr>
                <w:rFonts w:ascii="Arial" w:eastAsia="Canva Sans Bold" w:hAnsi="Arial" w:cs="Arial"/>
                <w:sz w:val="20"/>
                <w:szCs w:val="20"/>
              </w:rPr>
              <w:t>Landscaping/I</w:t>
            </w:r>
            <w:r w:rsidRPr="009865BD">
              <w:rPr>
                <w:rFonts w:ascii="Arial" w:eastAsia="Canva Sans Bold" w:hAnsi="Arial" w:cs="Arial"/>
                <w:sz w:val="20"/>
                <w:szCs w:val="20"/>
              </w:rPr>
              <w:t>rrigation plan</w:t>
            </w:r>
            <w:r w:rsidR="00B623C6">
              <w:rPr>
                <w:rFonts w:ascii="Arial" w:eastAsia="Canva Sans Bold" w:hAnsi="Arial" w:cs="Arial"/>
                <w:sz w:val="20"/>
                <w:szCs w:val="20"/>
              </w:rPr>
              <w:t xml:space="preserve"> (Includes all perimeters adjacent to public-rights-of-way)</w:t>
            </w:r>
            <w:r w:rsidRPr="009865BD">
              <w:rPr>
                <w:rFonts w:ascii="Arial" w:eastAsia="Canva Sans Bold" w:hAnsi="Arial" w:cs="Arial"/>
                <w:sz w:val="20"/>
                <w:szCs w:val="20"/>
              </w:rPr>
              <w:t>, exterior upkeep, graffiti removal, pool/spa maintenance</w:t>
            </w:r>
            <w:r w:rsidR="008512B6">
              <w:rPr>
                <w:rFonts w:ascii="Arial" w:eastAsia="Canva Sans Bold" w:hAnsi="Arial" w:cs="Arial"/>
                <w:sz w:val="20"/>
                <w:szCs w:val="20"/>
              </w:rPr>
              <w:t xml:space="preserve"> (Must remain free of pollutants, debris and standing water that could attract pests)</w:t>
            </w:r>
            <w:r w:rsidRPr="009865BD">
              <w:rPr>
                <w:rFonts w:ascii="Arial" w:eastAsia="Canva Sans Bold" w:hAnsi="Arial" w:cs="Arial"/>
                <w:sz w:val="20"/>
                <w:szCs w:val="20"/>
              </w:rPr>
              <w:t>, interior upkeep, fencing, signage, and insurance.</w:t>
            </w:r>
          </w:p>
          <w:p w14:paraId="72DDAC8C" w14:textId="77777777" w:rsidR="00F02D66" w:rsidRPr="009865BD" w:rsidRDefault="00F02D66" w:rsidP="007B13E8">
            <w:pPr>
              <w:spacing w:after="0" w:line="336" w:lineRule="auto"/>
              <w:rPr>
                <w:rFonts w:ascii="Arial" w:hAnsi="Arial" w:cs="Arial"/>
                <w:sz w:val="4"/>
                <w:szCs w:val="4"/>
              </w:rPr>
            </w:pPr>
          </w:p>
          <w:p w14:paraId="2EC845F1" w14:textId="4E2ED8D8" w:rsidR="001122C5" w:rsidRPr="009865BD" w:rsidRDefault="001122C5" w:rsidP="007B13E8">
            <w:pPr>
              <w:pBdr>
                <w:bottom w:val="single" w:sz="6" w:space="1" w:color="auto"/>
              </w:pBdr>
              <w:spacing w:after="0" w:line="336" w:lineRule="auto"/>
              <w:rPr>
                <w:rFonts w:ascii="Arial" w:hAnsi="Arial" w:cs="Arial"/>
                <w:sz w:val="20"/>
                <w:szCs w:val="20"/>
              </w:rPr>
            </w:pPr>
            <w:r w:rsidRPr="009865BD">
              <w:rPr>
                <w:rFonts w:ascii="Arial" w:hAnsi="Arial" w:cs="Arial"/>
                <w:b/>
                <w:bCs/>
                <w:sz w:val="20"/>
                <w:szCs w:val="20"/>
              </w:rPr>
              <w:t>Commercial Maintenance Requirements:</w:t>
            </w:r>
            <w:r w:rsidRPr="009865BD">
              <w:rPr>
                <w:rFonts w:ascii="Arial" w:hAnsi="Arial" w:cs="Arial"/>
                <w:sz w:val="20"/>
                <w:szCs w:val="20"/>
              </w:rPr>
              <w:t xml:space="preserve"> Includes all </w:t>
            </w:r>
            <w:r w:rsidRPr="009865BD">
              <w:rPr>
                <w:rFonts w:ascii="Arial" w:hAnsi="Arial" w:cs="Arial"/>
                <w:sz w:val="20"/>
                <w:szCs w:val="20"/>
                <w:u w:val="single"/>
              </w:rPr>
              <w:t xml:space="preserve">Residential </w:t>
            </w:r>
            <w:r w:rsidR="00CD2A21" w:rsidRPr="009865BD">
              <w:rPr>
                <w:rFonts w:ascii="Arial" w:hAnsi="Arial" w:cs="Arial"/>
                <w:sz w:val="20"/>
                <w:szCs w:val="20"/>
                <w:u w:val="single"/>
              </w:rPr>
              <w:t>Maintenance</w:t>
            </w:r>
            <w:r w:rsidRPr="009865BD">
              <w:rPr>
                <w:rFonts w:ascii="Arial" w:hAnsi="Arial" w:cs="Arial"/>
                <w:sz w:val="20"/>
                <w:szCs w:val="20"/>
                <w:u w:val="single"/>
              </w:rPr>
              <w:t xml:space="preserve"> Requirements</w:t>
            </w:r>
            <w:r w:rsidRPr="00986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5BD">
              <w:rPr>
                <w:rFonts w:ascii="Arial" w:hAnsi="Arial" w:cs="Arial"/>
                <w:sz w:val="20"/>
                <w:szCs w:val="20"/>
              </w:rPr>
              <w:t>in addition to</w:t>
            </w:r>
            <w:r w:rsidRPr="00986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2A21" w:rsidRPr="009865BD">
              <w:rPr>
                <w:rFonts w:ascii="Arial" w:hAnsi="Arial" w:cs="Arial"/>
                <w:sz w:val="20"/>
                <w:szCs w:val="20"/>
              </w:rPr>
              <w:t xml:space="preserve">sprinkler systems, alarm systems </w:t>
            </w:r>
            <w:r w:rsidR="002860FB">
              <w:rPr>
                <w:rFonts w:ascii="Arial" w:hAnsi="Arial" w:cs="Arial"/>
                <w:sz w:val="20"/>
                <w:szCs w:val="20"/>
              </w:rPr>
              <w:t>or</w:t>
            </w:r>
            <w:r w:rsidR="00CD2A21" w:rsidRPr="009865BD">
              <w:rPr>
                <w:rFonts w:ascii="Arial" w:hAnsi="Arial" w:cs="Arial"/>
                <w:sz w:val="20"/>
                <w:szCs w:val="20"/>
              </w:rPr>
              <w:t xml:space="preserve"> continuous security patrol.</w:t>
            </w:r>
          </w:p>
          <w:p w14:paraId="4E22F4DA" w14:textId="77777777" w:rsidR="00F02D66" w:rsidRPr="009865BD" w:rsidRDefault="00F02D66" w:rsidP="007B13E8">
            <w:pPr>
              <w:spacing w:after="0" w:line="336" w:lineRule="auto"/>
              <w:rPr>
                <w:rFonts w:ascii="Arial" w:hAnsi="Arial" w:cs="Arial"/>
                <w:sz w:val="4"/>
                <w:szCs w:val="4"/>
              </w:rPr>
            </w:pPr>
          </w:p>
          <w:p w14:paraId="3BA9243C" w14:textId="466ED6E4" w:rsidR="00F02D66" w:rsidRPr="009865BD" w:rsidRDefault="00F02D66" w:rsidP="007B13E8">
            <w:pPr>
              <w:pBdr>
                <w:bottom w:val="single" w:sz="6" w:space="1" w:color="auto"/>
              </w:pBdr>
              <w:spacing w:after="0" w:line="33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5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Quarterly City Inspections </w:t>
            </w:r>
            <w:r w:rsidRPr="008512B6">
              <w:rPr>
                <w:rFonts w:ascii="Arial" w:hAnsi="Arial" w:cs="Arial"/>
                <w:sz w:val="20"/>
                <w:szCs w:val="20"/>
              </w:rPr>
              <w:t>for all registered vacant properties.</w:t>
            </w:r>
          </w:p>
          <w:p w14:paraId="1FE0908C" w14:textId="77777777" w:rsidR="007B13E8" w:rsidRPr="009865BD" w:rsidRDefault="007B13E8" w:rsidP="007B13E8">
            <w:pPr>
              <w:spacing w:after="0" w:line="336" w:lineRule="auto"/>
              <w:rPr>
                <w:rFonts w:ascii="Arial" w:hAnsi="Arial" w:cs="Arial"/>
                <w:sz w:val="4"/>
                <w:szCs w:val="4"/>
              </w:rPr>
            </w:pPr>
          </w:p>
          <w:p w14:paraId="786E0908" w14:textId="5D58307A" w:rsidR="00F02D66" w:rsidRDefault="008512B6" w:rsidP="007B13E8">
            <w:pPr>
              <w:pBdr>
                <w:bottom w:val="single" w:sz="6" w:space="1" w:color="auto"/>
              </w:pBdr>
              <w:spacing w:after="0" w:line="336" w:lineRule="auto"/>
              <w:rPr>
                <w:rFonts w:ascii="Arial" w:hAnsi="Arial" w:cs="Arial"/>
                <w:sz w:val="20"/>
                <w:szCs w:val="20"/>
              </w:rPr>
            </w:pPr>
            <w:r w:rsidRPr="008512B6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Vacant Property Mitigation Plan </w:t>
            </w:r>
            <w:r w:rsidRPr="008512B6">
              <w:rPr>
                <w:rFonts w:ascii="Arial" w:hAnsi="Arial" w:cs="Arial"/>
                <w:sz w:val="20"/>
                <w:szCs w:val="20"/>
              </w:rPr>
              <w:t>is</w:t>
            </w:r>
            <w:r w:rsidR="00F02D66" w:rsidRPr="009865BD">
              <w:rPr>
                <w:rFonts w:ascii="Arial" w:hAnsi="Arial" w:cs="Arial"/>
                <w:sz w:val="20"/>
                <w:szCs w:val="20"/>
              </w:rPr>
              <w:t xml:space="preserve"> required after </w:t>
            </w:r>
            <w:r w:rsidR="00F02D66" w:rsidRPr="009865BD">
              <w:rPr>
                <w:rFonts w:ascii="Arial" w:hAnsi="Arial" w:cs="Arial"/>
                <w:sz w:val="20"/>
                <w:szCs w:val="20"/>
                <w:u w:val="single"/>
              </w:rPr>
              <w:t>45 days of vacancy</w:t>
            </w:r>
            <w:r w:rsidR="009865BD" w:rsidRPr="009865BD">
              <w:rPr>
                <w:rFonts w:ascii="Arial" w:hAnsi="Arial" w:cs="Arial"/>
                <w:sz w:val="20"/>
                <w:szCs w:val="20"/>
              </w:rPr>
              <w:t xml:space="preserve"> and includes</w:t>
            </w:r>
            <w:r w:rsidR="009865BD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F02D66" w:rsidRPr="009865BD">
              <w:rPr>
                <w:rFonts w:ascii="Arial" w:hAnsi="Arial" w:cs="Arial"/>
                <w:sz w:val="20"/>
                <w:szCs w:val="20"/>
              </w:rPr>
              <w:t>weekly inspections, reports to City/Director</w:t>
            </w:r>
            <w:r w:rsidR="009865BD">
              <w:rPr>
                <w:rFonts w:ascii="Arial" w:hAnsi="Arial" w:cs="Arial"/>
                <w:sz w:val="20"/>
                <w:szCs w:val="20"/>
              </w:rPr>
              <w:t xml:space="preserve"> and a</w:t>
            </w:r>
            <w:r w:rsidR="00F02D66" w:rsidRPr="009865BD">
              <w:rPr>
                <w:rFonts w:ascii="Arial" w:hAnsi="Arial" w:cs="Arial"/>
                <w:sz w:val="20"/>
                <w:szCs w:val="20"/>
              </w:rPr>
              <w:t xml:space="preserve"> re-occupancy</w:t>
            </w:r>
            <w:r w:rsidR="002860FB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F02D66" w:rsidRPr="009865BD">
              <w:rPr>
                <w:rFonts w:ascii="Arial" w:hAnsi="Arial" w:cs="Arial"/>
                <w:sz w:val="20"/>
                <w:szCs w:val="20"/>
              </w:rPr>
              <w:t>demolition plan</w:t>
            </w:r>
            <w:r w:rsidR="009865BD">
              <w:rPr>
                <w:rFonts w:ascii="Arial" w:hAnsi="Arial" w:cs="Arial"/>
                <w:sz w:val="20"/>
                <w:szCs w:val="20"/>
              </w:rPr>
              <w:t>. I</w:t>
            </w:r>
            <w:r w:rsidR="009865BD" w:rsidRPr="009865BD">
              <w:rPr>
                <w:rFonts w:ascii="Arial" w:hAnsi="Arial" w:cs="Arial"/>
                <w:sz w:val="20"/>
                <w:szCs w:val="20"/>
              </w:rPr>
              <w:t xml:space="preserve">nterior must be cleared of </w:t>
            </w:r>
            <w:r>
              <w:rPr>
                <w:rFonts w:ascii="Arial" w:hAnsi="Arial" w:cs="Arial"/>
                <w:sz w:val="20"/>
                <w:szCs w:val="20"/>
              </w:rPr>
              <w:t xml:space="preserve">all personal items including </w:t>
            </w:r>
            <w:r w:rsidR="009865BD" w:rsidRPr="009865BD">
              <w:rPr>
                <w:rFonts w:ascii="Arial" w:hAnsi="Arial" w:cs="Arial"/>
                <w:sz w:val="20"/>
                <w:szCs w:val="20"/>
              </w:rPr>
              <w:t>furnishings, blinds, or other signs of occupancy</w:t>
            </w:r>
            <w:r w:rsidR="009865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D3F082" w14:textId="77777777" w:rsidR="009F5C1C" w:rsidRPr="002A47E8" w:rsidRDefault="009F5C1C" w:rsidP="007B13E8">
            <w:pPr>
              <w:spacing w:after="0" w:line="336" w:lineRule="auto"/>
              <w:rPr>
                <w:rFonts w:ascii="Arial" w:hAnsi="Arial" w:cs="Arial"/>
                <w:sz w:val="4"/>
                <w:szCs w:val="4"/>
              </w:rPr>
            </w:pPr>
          </w:p>
          <w:p w14:paraId="246948E0" w14:textId="38A604E7" w:rsidR="00B623C6" w:rsidRDefault="00B623C6" w:rsidP="007B13E8">
            <w:pPr>
              <w:pBdr>
                <w:bottom w:val="single" w:sz="6" w:space="1" w:color="auto"/>
              </w:pBdr>
              <w:spacing w:after="0" w:line="336" w:lineRule="auto"/>
              <w:rPr>
                <w:rFonts w:ascii="Arial" w:hAnsi="Arial" w:cs="Arial"/>
                <w:sz w:val="20"/>
                <w:szCs w:val="20"/>
              </w:rPr>
            </w:pPr>
            <w:r w:rsidRPr="00B623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Property Transfers:</w:t>
            </w:r>
            <w:r>
              <w:rPr>
                <w:rFonts w:ascii="Arial" w:hAnsi="Arial" w:cs="Arial"/>
                <w:sz w:val="20"/>
                <w:szCs w:val="20"/>
              </w:rPr>
              <w:t xml:space="preserve"> When a loan or deed of trust is transferred, the new beneficiary and trustee must record with the </w:t>
            </w:r>
            <w:r w:rsidRPr="00B623C6">
              <w:rPr>
                <w:rFonts w:ascii="Arial" w:hAnsi="Arial" w:cs="Arial"/>
                <w:sz w:val="20"/>
                <w:szCs w:val="20"/>
              </w:rPr>
              <w:t>Los Angeles County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23C6">
              <w:rPr>
                <w:rFonts w:ascii="Arial" w:hAnsi="Arial" w:cs="Arial"/>
                <w:sz w:val="20"/>
                <w:szCs w:val="20"/>
              </w:rPr>
              <w:t xml:space="preserve">Recorder’s Office within </w:t>
            </w:r>
            <w:r w:rsidRPr="00B623C6">
              <w:rPr>
                <w:rFonts w:ascii="Arial" w:hAnsi="Arial" w:cs="Arial"/>
                <w:sz w:val="20"/>
                <w:szCs w:val="20"/>
                <w:u w:val="single"/>
              </w:rPr>
              <w:t>10 days</w:t>
            </w:r>
            <w:r w:rsidRPr="00B623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30933E" w14:textId="77777777" w:rsidR="00EE27A8" w:rsidRPr="002A47E8" w:rsidRDefault="00EE27A8" w:rsidP="007B13E8">
            <w:pPr>
              <w:spacing w:after="0" w:line="336" w:lineRule="auto"/>
              <w:rPr>
                <w:rFonts w:ascii="Arial" w:hAnsi="Arial" w:cs="Arial"/>
                <w:sz w:val="4"/>
                <w:szCs w:val="4"/>
              </w:rPr>
            </w:pPr>
          </w:p>
          <w:p w14:paraId="5B51DE6E" w14:textId="5C4059B9" w:rsidR="00703FA7" w:rsidRDefault="00653F40" w:rsidP="002A47E8">
            <w:pPr>
              <w:spacing w:after="0" w:line="336" w:lineRule="auto"/>
              <w:rPr>
                <w:rFonts w:ascii="Arial" w:hAnsi="Arial" w:cs="Arial"/>
                <w:sz w:val="20"/>
                <w:szCs w:val="20"/>
              </w:rPr>
            </w:pPr>
            <w:r w:rsidRPr="00B623C6">
              <w:rPr>
                <w:rFonts w:ascii="Arial" w:hAnsi="Arial" w:cs="Arial"/>
                <w:b/>
                <w:bCs/>
                <w:sz w:val="20"/>
                <w:szCs w:val="20"/>
              </w:rPr>
              <w:t>Director’s Authority for Additional Measures:</w:t>
            </w:r>
            <w:r>
              <w:rPr>
                <w:rFonts w:ascii="Arial" w:hAnsi="Arial" w:cs="Arial"/>
                <w:sz w:val="20"/>
                <w:szCs w:val="20"/>
              </w:rPr>
              <w:t xml:space="preserve"> If needed, the Community Development Director can impose extra security requirements such as security lighting, more frequent inspections and security guards.</w:t>
            </w:r>
          </w:p>
          <w:p w14:paraId="29B70C5F" w14:textId="77777777" w:rsidR="00F02D66" w:rsidRDefault="00F02D66" w:rsidP="007B13E8">
            <w:pPr>
              <w:pBdr>
                <w:bottom w:val="single" w:sz="6" w:space="1" w:color="auto"/>
              </w:pBdr>
              <w:spacing w:after="0" w:line="336" w:lineRule="auto"/>
              <w:ind w:right="-60"/>
              <w:rPr>
                <w:rFonts w:ascii="Arial" w:hAnsi="Arial" w:cs="Arial"/>
                <w:sz w:val="20"/>
                <w:szCs w:val="20"/>
              </w:rPr>
            </w:pPr>
            <w:r w:rsidRPr="009865BD">
              <w:rPr>
                <w:rFonts w:ascii="Arial" w:hAnsi="Arial" w:cs="Arial"/>
                <w:b/>
                <w:bCs/>
                <w:sz w:val="20"/>
                <w:szCs w:val="20"/>
              </w:rPr>
              <w:t>Enforcement &amp; Penalties:</w:t>
            </w:r>
            <w:r w:rsidRPr="009865BD">
              <w:rPr>
                <w:rFonts w:ascii="Arial" w:hAnsi="Arial" w:cs="Arial"/>
                <w:sz w:val="20"/>
                <w:szCs w:val="20"/>
              </w:rPr>
              <w:t xml:space="preserve"> Misdemeanor punishable by a fine of up to </w:t>
            </w:r>
            <w:r w:rsidRPr="009865BD">
              <w:rPr>
                <w:rFonts w:ascii="Arial" w:hAnsi="Arial" w:cs="Arial"/>
                <w:sz w:val="20"/>
                <w:szCs w:val="20"/>
                <w:u w:val="single"/>
              </w:rPr>
              <w:t xml:space="preserve">$1,000 per </w:t>
            </w:r>
            <w:r w:rsidR="009865BD" w:rsidRPr="009865BD">
              <w:rPr>
                <w:rFonts w:ascii="Arial" w:hAnsi="Arial" w:cs="Arial"/>
                <w:sz w:val="20"/>
                <w:szCs w:val="20"/>
                <w:u w:val="single"/>
              </w:rPr>
              <w:t>violation</w:t>
            </w:r>
            <w:r w:rsidRPr="009865BD">
              <w:rPr>
                <w:rFonts w:ascii="Arial" w:hAnsi="Arial" w:cs="Arial"/>
                <w:sz w:val="20"/>
                <w:szCs w:val="20"/>
                <w:u w:val="single"/>
              </w:rPr>
              <w:t xml:space="preserve"> per day</w:t>
            </w:r>
            <w:r w:rsidRPr="009865BD">
              <w:rPr>
                <w:rFonts w:ascii="Arial" w:hAnsi="Arial" w:cs="Arial"/>
                <w:sz w:val="20"/>
                <w:szCs w:val="20"/>
              </w:rPr>
              <w:t>, or by imprisonment in the County jail no exceeding six months. In addition, admin citations, civil actions, abatement powers</w:t>
            </w:r>
            <w:r w:rsidR="009865BD" w:rsidRPr="009865B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865BD" w:rsidRPr="008512B6">
              <w:rPr>
                <w:rFonts w:ascii="Arial" w:hAnsi="Arial" w:cs="Arial"/>
                <w:sz w:val="20"/>
                <w:szCs w:val="20"/>
                <w:u w:val="single"/>
              </w:rPr>
              <w:t>Each day</w:t>
            </w:r>
            <w:r w:rsidR="009865BD" w:rsidRPr="009865BD">
              <w:rPr>
                <w:rFonts w:ascii="Arial" w:hAnsi="Arial" w:cs="Arial"/>
                <w:sz w:val="20"/>
                <w:szCs w:val="20"/>
              </w:rPr>
              <w:t xml:space="preserve"> a property is out of compliance counts as a </w:t>
            </w:r>
            <w:r w:rsidR="009865BD" w:rsidRPr="008512B6">
              <w:rPr>
                <w:rFonts w:ascii="Arial" w:hAnsi="Arial" w:cs="Arial"/>
                <w:sz w:val="20"/>
                <w:szCs w:val="20"/>
                <w:u w:val="single"/>
              </w:rPr>
              <w:t>separate violation</w:t>
            </w:r>
            <w:r w:rsidR="009865BD" w:rsidRPr="009865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B302F2" w14:textId="77777777" w:rsidR="007B13E8" w:rsidRPr="002A47E8" w:rsidRDefault="007B13E8" w:rsidP="007B13E8">
            <w:pPr>
              <w:spacing w:after="0" w:line="336" w:lineRule="auto"/>
              <w:ind w:right="-60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28A9ED6" w14:textId="32171A8F" w:rsidR="004A5158" w:rsidRPr="001122C5" w:rsidRDefault="00FE3C18" w:rsidP="002A47E8">
            <w:pPr>
              <w:spacing w:after="0" w:line="33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Fencing </w:t>
            </w:r>
            <w:r w:rsidR="00431CF2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equirements:</w:t>
            </w:r>
            <w:r w:rsidR="00431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1CF2" w:rsidRPr="002A47E8">
              <w:rPr>
                <w:rFonts w:ascii="Arial" w:hAnsi="Arial" w:cs="Arial"/>
                <w:sz w:val="20"/>
                <w:szCs w:val="20"/>
              </w:rPr>
              <w:t>Vacant properties must have durable fencing (such as wrought iron, block-and-iron, or heavy-duty vinyl) installed behind perimeter landscaping. Fences must include an access gate, be kept in good repair, and any graffiti must be removed within 24 hours.</w:t>
            </w:r>
          </w:p>
        </w:tc>
      </w:tr>
    </w:tbl>
    <w:p w14:paraId="6B40510D" w14:textId="77777777" w:rsidR="00332EB0" w:rsidRDefault="00332EB0" w:rsidP="00332EB0">
      <w:pPr>
        <w:spacing w:after="0" w:line="336" w:lineRule="auto"/>
        <w:jc w:val="center"/>
        <w:rPr>
          <w:rFonts w:ascii="Arial" w:hAnsi="Arial" w:cs="Arial"/>
        </w:rPr>
      </w:pPr>
    </w:p>
    <w:p w14:paraId="241689A2" w14:textId="33BCC0E1" w:rsidR="00747F37" w:rsidRDefault="00332EB0" w:rsidP="00332EB0">
      <w:pPr>
        <w:spacing w:after="0" w:line="336" w:lineRule="auto"/>
        <w:jc w:val="center"/>
        <w:rPr>
          <w:rFonts w:ascii="Arial" w:hAnsi="Arial" w:cs="Arial"/>
        </w:rPr>
      </w:pPr>
      <w:r w:rsidRPr="002A47E8">
        <w:rPr>
          <w:rFonts w:ascii="Arial" w:hAnsi="Arial" w:cs="Arial"/>
        </w:rPr>
        <w:t>Visit the Vacant Property Registration website to view samples of code-compliant landscaping, fencing, and other features.</w:t>
      </w:r>
    </w:p>
    <w:p w14:paraId="359843A8" w14:textId="77777777" w:rsidR="00332EB0" w:rsidRPr="00065391" w:rsidRDefault="00332EB0" w:rsidP="002A47E8">
      <w:pPr>
        <w:spacing w:after="0" w:line="336" w:lineRule="auto"/>
        <w:jc w:val="center"/>
      </w:pPr>
    </w:p>
    <w:tbl>
      <w:tblPr>
        <w:tblW w:w="10890" w:type="dxa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0"/>
      </w:tblGrid>
      <w:tr w:rsidR="00747F37" w14:paraId="26E1EF83" w14:textId="77777777" w:rsidTr="007207ED">
        <w:tc>
          <w:tcPr>
            <w:tcW w:w="10890" w:type="dxa"/>
            <w:shd w:val="clear" w:color="auto" w:fill="ECE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CF5D" w14:textId="158484EB" w:rsidR="00747F37" w:rsidRDefault="002860FB" w:rsidP="007B13E8">
            <w:pPr>
              <w:spacing w:before="120" w:after="120" w:line="336" w:lineRule="auto"/>
              <w:jc w:val="center"/>
            </w:pPr>
            <w:r>
              <w:rPr>
                <w:rFonts w:ascii="Roboto Bold" w:eastAsia="Roboto Bold" w:hAnsi="Roboto Bold" w:cs="Roboto Bold"/>
                <w:b/>
                <w:bCs/>
                <w:color w:val="000000"/>
                <w:spacing w:val="30"/>
                <w:sz w:val="40"/>
                <w:szCs w:val="40"/>
              </w:rPr>
              <w:t>How to Register</w:t>
            </w:r>
          </w:p>
        </w:tc>
      </w:tr>
    </w:tbl>
    <w:p w14:paraId="573369D6" w14:textId="77777777" w:rsidR="004D78A7" w:rsidRDefault="00490442" w:rsidP="002A47E8">
      <w:pPr>
        <w:spacing w:before="240" w:line="300" w:lineRule="auto"/>
        <w:jc w:val="center"/>
        <w:rPr>
          <w:rFonts w:ascii="Arial" w:eastAsia="Canva Sans Bold" w:hAnsi="Arial" w:cs="Arial"/>
          <w:b/>
          <w:bCs/>
          <w:color w:val="000000"/>
          <w:sz w:val="28"/>
          <w:szCs w:val="28"/>
        </w:rPr>
      </w:pPr>
      <w:r>
        <w:rPr>
          <w:rFonts w:ascii="Arial" w:eastAsia="Canva Sans Bold" w:hAnsi="Arial" w:cs="Arial"/>
          <w:b/>
          <w:bCs/>
          <w:color w:val="000000"/>
          <w:sz w:val="28"/>
          <w:szCs w:val="28"/>
        </w:rPr>
        <w:t>Vacant Property Registratio</w:t>
      </w:r>
      <w:r w:rsidR="004D78A7">
        <w:rPr>
          <w:rFonts w:ascii="Arial" w:eastAsia="Canva Sans Bold" w:hAnsi="Arial" w:cs="Arial"/>
          <w:b/>
          <w:bCs/>
          <w:color w:val="000000"/>
          <w:sz w:val="28"/>
          <w:szCs w:val="28"/>
        </w:rPr>
        <w:t>n Website</w:t>
      </w:r>
    </w:p>
    <w:p w14:paraId="654FABF2" w14:textId="00FECEA3" w:rsidR="00475059" w:rsidRDefault="00475059" w:rsidP="002A47E8">
      <w:pPr>
        <w:spacing w:after="0" w:line="300" w:lineRule="auto"/>
        <w:jc w:val="center"/>
        <w:rPr>
          <w:rFonts w:ascii="Arial" w:eastAsia="Canva Sans Bold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4A49E18F" wp14:editId="7D4892D6">
            <wp:extent cx="2526708" cy="2526708"/>
            <wp:effectExtent l="0" t="0" r="6985" b="6985"/>
            <wp:docPr id="336635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35449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708" cy="252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D60A" w14:textId="448FC187" w:rsidR="009865BD" w:rsidRPr="009865BD" w:rsidRDefault="005A0E6D" w:rsidP="005A0E6D">
      <w:pPr>
        <w:spacing w:after="0" w:line="336" w:lineRule="auto"/>
        <w:jc w:val="center"/>
        <w:rPr>
          <w:rFonts w:ascii="Arial" w:eastAsia="Arimo" w:hAnsi="Arial" w:cs="Arial"/>
          <w:color w:val="000000"/>
        </w:rPr>
      </w:pPr>
      <w:r w:rsidRPr="005A0E6D">
        <w:t>www.cityofartesia.us/1566/Vacant-Property-Registration</w:t>
      </w:r>
    </w:p>
    <w:p w14:paraId="3AF5A427" w14:textId="77F71D4A" w:rsidR="00B969CC" w:rsidRDefault="00B969CC" w:rsidP="002A47E8">
      <w:pPr>
        <w:spacing w:after="0" w:line="336" w:lineRule="auto"/>
        <w:jc w:val="center"/>
      </w:pPr>
    </w:p>
    <w:sectPr w:rsidR="00B969CC" w:rsidSect="00B969CC">
      <w:pgSz w:w="12240" w:h="1581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2C25084-CF99-4628-B67C-3DCB10A34A97}"/>
    <w:embedBold r:id="rId2" w:fontKey="{DB5CFCC0-1611-425F-B5EF-E4BC3AB3AA5C}"/>
  </w:font>
  <w:font w:name="Roboto Bold">
    <w:altName w:val="Roboto"/>
    <w:charset w:val="00"/>
    <w:family w:val="auto"/>
    <w:pitch w:val="default"/>
    <w:embedBold r:id="rId3" w:fontKey="{FA02F296-7C29-44A1-A81A-B54EB827D4B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4" w:fontKey="{75CFDF89-4C44-43C8-8C25-7ED130D3CA95}"/>
    <w:embedBold r:id="rId5" w:fontKey="{A0D9A420-3B04-4223-8C9C-754ED7A17433}"/>
  </w:font>
  <w:font w:name="Canva Sans Bold">
    <w:altName w:val="Calibri"/>
    <w:charset w:val="00"/>
    <w:family w:val="auto"/>
    <w:pitch w:val="default"/>
    <w:embedRegular r:id="rId6" w:fontKey="{B845B022-F272-48AC-9C9F-13693E84DD03}"/>
    <w:embedBold r:id="rId7" w:fontKey="{50CEBF09-87D8-4257-BE3B-9835FAC7971B}"/>
  </w:font>
  <w:font w:name="Arimo">
    <w:altName w:val="Calibri"/>
    <w:charset w:val="00"/>
    <w:family w:val="auto"/>
    <w:pitch w:val="default"/>
    <w:embedRegular r:id="rId8" w:fontKey="{053D93DC-5325-405E-B77D-C2891051629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9" w:fontKey="{8FF10915-2D3E-4009-A050-CCE257351685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8259C"/>
    <w:multiLevelType w:val="hybridMultilevel"/>
    <w:tmpl w:val="34DC3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86F51"/>
    <w:multiLevelType w:val="hybridMultilevel"/>
    <w:tmpl w:val="B4025C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F24B1"/>
    <w:multiLevelType w:val="hybridMultilevel"/>
    <w:tmpl w:val="8D8E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433038">
    <w:abstractNumId w:val="2"/>
  </w:num>
  <w:num w:numId="2" w16cid:durableId="1596985889">
    <w:abstractNumId w:val="0"/>
  </w:num>
  <w:num w:numId="3" w16cid:durableId="142318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proofState w:spelling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37"/>
    <w:rsid w:val="00012B34"/>
    <w:rsid w:val="00056A37"/>
    <w:rsid w:val="00057471"/>
    <w:rsid w:val="00065391"/>
    <w:rsid w:val="0007133F"/>
    <w:rsid w:val="000E0B4D"/>
    <w:rsid w:val="000F2CB8"/>
    <w:rsid w:val="001122C5"/>
    <w:rsid w:val="001B42A3"/>
    <w:rsid w:val="001B4A00"/>
    <w:rsid w:val="001F3948"/>
    <w:rsid w:val="00214045"/>
    <w:rsid w:val="00256576"/>
    <w:rsid w:val="002859D0"/>
    <w:rsid w:val="002860FB"/>
    <w:rsid w:val="002A47E8"/>
    <w:rsid w:val="00332EB0"/>
    <w:rsid w:val="00350754"/>
    <w:rsid w:val="00381963"/>
    <w:rsid w:val="003B04C5"/>
    <w:rsid w:val="003B3B35"/>
    <w:rsid w:val="003D13C1"/>
    <w:rsid w:val="003D755A"/>
    <w:rsid w:val="00405928"/>
    <w:rsid w:val="00431CF2"/>
    <w:rsid w:val="00441A29"/>
    <w:rsid w:val="00475059"/>
    <w:rsid w:val="00490442"/>
    <w:rsid w:val="004A4042"/>
    <w:rsid w:val="004A5158"/>
    <w:rsid w:val="004A7661"/>
    <w:rsid w:val="004D78A7"/>
    <w:rsid w:val="00591402"/>
    <w:rsid w:val="005A0E6D"/>
    <w:rsid w:val="005D2666"/>
    <w:rsid w:val="005E1BC3"/>
    <w:rsid w:val="005E34EB"/>
    <w:rsid w:val="00653F40"/>
    <w:rsid w:val="006713E2"/>
    <w:rsid w:val="00682014"/>
    <w:rsid w:val="006C4E6A"/>
    <w:rsid w:val="006F2BC2"/>
    <w:rsid w:val="00703FA7"/>
    <w:rsid w:val="007207ED"/>
    <w:rsid w:val="00723D3E"/>
    <w:rsid w:val="00747F37"/>
    <w:rsid w:val="00790454"/>
    <w:rsid w:val="007945B7"/>
    <w:rsid w:val="007A161F"/>
    <w:rsid w:val="007A233B"/>
    <w:rsid w:val="007B13E8"/>
    <w:rsid w:val="007C6CE6"/>
    <w:rsid w:val="008512B6"/>
    <w:rsid w:val="008931E1"/>
    <w:rsid w:val="00903A01"/>
    <w:rsid w:val="009865BD"/>
    <w:rsid w:val="009F5C1C"/>
    <w:rsid w:val="00A405FD"/>
    <w:rsid w:val="00A961BB"/>
    <w:rsid w:val="00AB508F"/>
    <w:rsid w:val="00B212DF"/>
    <w:rsid w:val="00B40D0C"/>
    <w:rsid w:val="00B474D6"/>
    <w:rsid w:val="00B54D3D"/>
    <w:rsid w:val="00B623C6"/>
    <w:rsid w:val="00B969CC"/>
    <w:rsid w:val="00BB6E87"/>
    <w:rsid w:val="00BC6FC1"/>
    <w:rsid w:val="00CD24D5"/>
    <w:rsid w:val="00CD2A21"/>
    <w:rsid w:val="00D337B9"/>
    <w:rsid w:val="00D40DDC"/>
    <w:rsid w:val="00D41932"/>
    <w:rsid w:val="00D93D18"/>
    <w:rsid w:val="00E84CCF"/>
    <w:rsid w:val="00EB0C57"/>
    <w:rsid w:val="00EE27A8"/>
    <w:rsid w:val="00EF3310"/>
    <w:rsid w:val="00F006B5"/>
    <w:rsid w:val="00F02D66"/>
    <w:rsid w:val="00F37632"/>
    <w:rsid w:val="00F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F6C4"/>
  <w15:docId w15:val="{31F155D6-63CE-41C1-A225-0CB49332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9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19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12D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E0B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0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B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yofartesia.us/DocumentCenter/View/8619/ORD-25-96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440</Words>
  <Characters>2777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Sam Osinga</cp:lastModifiedBy>
  <cp:revision>7</cp:revision>
  <cp:lastPrinted>2025-11-19T20:01:00Z</cp:lastPrinted>
  <dcterms:created xsi:type="dcterms:W3CDTF">2025-11-20T21:00:00Z</dcterms:created>
  <dcterms:modified xsi:type="dcterms:W3CDTF">2025-11-20T21:09:00Z</dcterms:modified>
</cp:coreProperties>
</file>